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2021/101 vom 17. Februar 2022</w:t>
      </w:r>
    </w:p>
    <w:p>
      <w:r>
        <w:t>Sg Verwaltungsgericht, 2022-02-17, DE</w:t>
      </w:r>
    </w:p>
    <w:p>
      <w:r>
        <w:rPr>
          <w:b/>
        </w:rPr>
        <w:t xml:space="preserve">Quelle: </w:t>
      </w:r>
      <w:r>
        <w:t>https://mcp.opencaselaw.ch/entscheid/sg_publikationen_B 2021_101</w:t>
      </w:r>
    </w:p>
    <w:p>
      <w:r>
        <w:t>FR: SG_VERWALTUNGSGERICHT B 2021/101 du 17 février 2022</w:t>
      </w:r>
    </w:p>
    <w:p>
      <w:r>
        <w:t>IT: SG_VERWALTUNGSGERICHT B 2021/101 del 17 febbraio 2022</w:t>
      </w:r>
    </w:p>
    <w:p>
      <w:pPr>
        <w:pStyle w:val="Heading2"/>
      </w:pPr>
      <w:r>
        <w:t>Regeste</w:t>
      </w:r>
    </w:p>
    <w:p>
      <w:r>
        <w:t>Art. 32 f. StrG (sGS 732.1). Art. 5 f. EntG (sGS 735.1). Art. 4 RPG (SR 700). Das Verwaltungsgericht hielt fest, dass in Nachachtung der damals geltenden, ständigen Praxis die Beschwerdebeteiligte (Gemeinde) die Bevölkerung über das Projekt frühzeitig und ausreichend informiert und ihr die Möglichkeit zur Stellungnahme eingeräumt habe; von letzterer sei auch Gebrauch gemacht worden. Das Mitwirkungsrecht im Sinn von Art. 4 RPG habe als gewahrt zu gelten. Hinsichtlich des Strassenprojektes kam das Verwaltungsgericht zum Schluss, die Verschiebung der Bushaltestelle sei geeignet und erforderlich, bestehende Verkehrssicherheitsmängel (im öffentlichen Interesse) zu beseitigen oder zu vermindern. Die projektierte Lage der Bushaltestelle vermöge die Anforderungen der Verkehrssicherheit und des öffentlichen Verkehrs zu erfüllen. Was die von den Beschwerdeführern befürchtete Lärmzunahme durch die Bushaltestelle betreffe, sei festzuhalten, dass der durch Fahrgäste bewirkte (nächtliche) Lärm und allfälliges Littering ihre Ursache nicht im Projekt hätten und nicht durch strassenrechtliche, sondern gegebenenfalls durch polizeiliche Massnahmen anzugehen seien. Indes erscheine die Notwendigkeit der projektierten Ausbuchtung bzw. die Enteignung der Fläche von 7 m2 für die Erstellung der an den neuen Standort verschobenen Haltestelle allein insofern nicht dargetan, als grundsätzlich - je nach Personenaufkommen und daraus resultierendem Platzbedarf - wie bis anhin auf dem 2 m breiten Trottoir auf den Bus gewartet werden könne. Unterlagen, welche die Frequentierung bzw. das Einzugsgebiet der aktuell bestehenden und der projektierten Haltestelle zahlenmässig zu dokumentieren vermöchten, seien nicht aktenkundig. Gestützt auf diese Tatsachenlage lasse sich der zur Enteignung führende Platzbedarf bzw. die Notwendigkeit der Erstellung einer Ausbuchtung zur Verwendung als blosser Warteplatz nicht zureichend begründen. Das öffentliche Interesse an einem Haltestellen-Unterstand und die Verhältnismässigkeit der mit der Erstellung desselben verbundenen Enteignung seien ebenfalls nicht dokumentiert. Mithin sei ein öffentliches Interesse an der Erstellung einer Ausbuchtung an der Bushaltestelle, welches das Interesse der Beschwerdeführer am Erhalt der für das Projekt nötigen Fläche von 7 m2 zu überwiegen vermöchte, aufgrund der bestehenden Aktenlage nicht zureichend dargetan. Ebenfalls nicht geklärt sei die Frage der Verhältnismässigkeit (Geeignetheit und Erforderlichkeit) des Eingriffs zur Erreichung eines im öffentlichen Interesse liegenden Ziels. Nachdem der Unterstand im Baubewilligungsverfahren zu bewilligen sei, erweise es sich zudem als notwendig, das strassenrechtliche und das baurechtliche Verfahren im Sinn von Art. 25a Abs. 4 RPG zu koordinieren. Damit lasse sich die im Projekt vorgesehene dauernde Enteignung von 7 m2 nicht aufrechterhalten (Verwaltungsgericht, B 2021/101).</w:t>
      </w:r>
    </w:p>
    <w:p>
      <w:pPr>
        <w:pStyle w:val="Heading2"/>
      </w:pPr>
      <w:r>
        <w:t>Erwägungen</w:t>
      </w:r>
    </w:p>
    <w:p>
      <w:r>
        <w:rPr>
          <w:b/>
        </w:rPr>
        <w:t>E. 2</w:t>
      </w:r>
    </w:p>
    <w:p>
      <w:r>
        <w:t>Boden ab dem Grundstück Nr. 0002__ für die projektierte Haltestellen-Ausbuchtung sowie gegebenenfalls zur koordinierten Durchführung des strassen- und baurechtlichen Verfahrens an die Vorinstanz zurückgewiesen. Die amtlichen Kosten des Beschwerdeverfahrens von CHF 3'500 trägt der Staat (Vorinstanz); auf die Erhebung wird verzichtet. Den Beschwerdeführern wird der Kostenvorschuss von CHF 4'000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